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D8" w:rsidRDefault="001903D8" w:rsidP="001903D8">
      <w:pPr>
        <w:pStyle w:val="a3"/>
        <w:rPr>
          <w:color w:val="364F56"/>
          <w:sz w:val="18"/>
          <w:szCs w:val="18"/>
        </w:rPr>
      </w:pPr>
      <w:bookmarkStart w:id="0" w:name="OLE_LINK1"/>
      <w:bookmarkStart w:id="1" w:name="_GoBack"/>
      <w:r>
        <w:rPr>
          <w:color w:val="364F56"/>
          <w:sz w:val="18"/>
          <w:szCs w:val="18"/>
        </w:rPr>
        <w:t>根据有关法律和最高人民法院司法解释的精神，结合我市审判实践，我院在调查研究的基础上，制定如下解答意见：</w:t>
      </w:r>
    </w:p>
    <w:p w:rsidR="001903D8" w:rsidRDefault="001903D8" w:rsidP="001903D8">
      <w:pPr>
        <w:pStyle w:val="a3"/>
        <w:rPr>
          <w:color w:val="364F56"/>
          <w:sz w:val="18"/>
          <w:szCs w:val="18"/>
        </w:rPr>
      </w:pPr>
      <w:r>
        <w:rPr>
          <w:color w:val="364F56"/>
          <w:sz w:val="18"/>
          <w:szCs w:val="18"/>
        </w:rPr>
        <w:t>一、程序类</w:t>
      </w:r>
    </w:p>
    <w:p w:rsidR="001903D8" w:rsidRDefault="001903D8" w:rsidP="001903D8">
      <w:pPr>
        <w:pStyle w:val="a3"/>
        <w:rPr>
          <w:color w:val="364F56"/>
          <w:sz w:val="18"/>
          <w:szCs w:val="18"/>
        </w:rPr>
      </w:pPr>
      <w:r>
        <w:rPr>
          <w:color w:val="364F56"/>
          <w:sz w:val="18"/>
          <w:szCs w:val="18"/>
        </w:rPr>
        <w:t>1. 诉前责令停止侵犯专利权、商标权、著作权及与著作权有关的权利行为措施的申请、诉前证据保全申请由立案庭（或者程序机构）还是审理</w:t>
      </w:r>
      <w:hyperlink r:id="rId5" w:tgtFrame="_blank" w:tooltip="知识产权" w:history="1">
        <w:r>
          <w:rPr>
            <w:rStyle w:val="wpkeywordlink"/>
            <w:color w:val="0066CC"/>
            <w:sz w:val="18"/>
            <w:szCs w:val="18"/>
            <w:u w:val="single"/>
          </w:rPr>
          <w:t>知识产权</w:t>
        </w:r>
      </w:hyperlink>
      <w:r>
        <w:rPr>
          <w:color w:val="364F56"/>
          <w:sz w:val="18"/>
          <w:szCs w:val="18"/>
        </w:rPr>
        <w:t>案件的民庭审理？</w:t>
      </w:r>
    </w:p>
    <w:p w:rsidR="001903D8" w:rsidRDefault="001903D8" w:rsidP="001903D8">
      <w:pPr>
        <w:pStyle w:val="a3"/>
        <w:rPr>
          <w:color w:val="364F56"/>
          <w:sz w:val="18"/>
          <w:szCs w:val="18"/>
        </w:rPr>
      </w:pPr>
      <w:r>
        <w:rPr>
          <w:color w:val="364F56"/>
          <w:sz w:val="18"/>
          <w:szCs w:val="18"/>
        </w:rPr>
        <w:t>在起诉前，专利权人或者利害关系人、</w:t>
      </w:r>
      <w:hyperlink r:id="rId6" w:tgtFrame="_blank" w:tooltip="商标注册" w:history="1">
        <w:r>
          <w:rPr>
            <w:rStyle w:val="wpkeywordlink"/>
            <w:color w:val="0066CC"/>
            <w:sz w:val="18"/>
            <w:szCs w:val="18"/>
            <w:u w:val="single"/>
          </w:rPr>
          <w:t>商标注册</w:t>
        </w:r>
      </w:hyperlink>
      <w:r>
        <w:rPr>
          <w:color w:val="364F56"/>
          <w:sz w:val="18"/>
          <w:szCs w:val="18"/>
        </w:rPr>
        <w:t>人或者利害关系人、著作权人或者与著作权有关的权利人向人民法院申请采取责令停止有关行为的措施和证据保全的，应由审理</w:t>
      </w:r>
      <w:hyperlink r:id="rId7" w:tgtFrame="_blank" w:tooltip="知识产权" w:history="1">
        <w:r>
          <w:rPr>
            <w:rStyle w:val="wpkeywordlink"/>
            <w:color w:val="0066CC"/>
            <w:sz w:val="18"/>
            <w:szCs w:val="18"/>
            <w:u w:val="single"/>
          </w:rPr>
          <w:t>知识产权</w:t>
        </w:r>
      </w:hyperlink>
      <w:r>
        <w:rPr>
          <w:color w:val="364F56"/>
          <w:sz w:val="18"/>
          <w:szCs w:val="18"/>
        </w:rPr>
        <w:t>案件的民庭审理。</w:t>
      </w:r>
    </w:p>
    <w:p w:rsidR="001903D8" w:rsidRDefault="001903D8" w:rsidP="001903D8">
      <w:pPr>
        <w:pStyle w:val="a3"/>
        <w:rPr>
          <w:color w:val="364F56"/>
          <w:sz w:val="18"/>
          <w:szCs w:val="18"/>
        </w:rPr>
      </w:pPr>
      <w:r>
        <w:rPr>
          <w:color w:val="364F56"/>
          <w:sz w:val="18"/>
          <w:szCs w:val="18"/>
        </w:rPr>
        <w:t>2. 因指控侵权不实或者因一方当事人申请采取财产保全、先予执行、证据保全、诉前停止有关行为的措施给另一方当事人造成财产损失、另一方当事人请求申请人赔偿的，如何处理？</w:t>
      </w:r>
    </w:p>
    <w:p w:rsidR="001903D8" w:rsidRDefault="001903D8" w:rsidP="001903D8">
      <w:pPr>
        <w:pStyle w:val="a3"/>
        <w:rPr>
          <w:color w:val="364F56"/>
          <w:sz w:val="18"/>
          <w:szCs w:val="18"/>
        </w:rPr>
      </w:pPr>
      <w:r>
        <w:rPr>
          <w:color w:val="364F56"/>
          <w:sz w:val="18"/>
          <w:szCs w:val="18"/>
        </w:rPr>
        <w:t>被控侵权人或者被申请人可以向有管辖权的人民法院起诉请求指控人或者申请人赔偿；也可以在原侵权之诉中提出损害赔偿的请求。后种情况人民法院可以一并处理。</w:t>
      </w:r>
    </w:p>
    <w:p w:rsidR="001903D8" w:rsidRDefault="001903D8" w:rsidP="001903D8">
      <w:pPr>
        <w:pStyle w:val="a3"/>
        <w:rPr>
          <w:color w:val="364F56"/>
          <w:sz w:val="18"/>
          <w:szCs w:val="18"/>
        </w:rPr>
      </w:pPr>
      <w:r>
        <w:rPr>
          <w:color w:val="364F56"/>
          <w:sz w:val="18"/>
          <w:szCs w:val="18"/>
        </w:rPr>
        <w:t>3. 专利法第四十六条第二款规定，在专利无效行政</w:t>
      </w:r>
      <w:hyperlink r:id="rId8" w:tgtFrame="_blank" w:tooltip="诉讼" w:history="1">
        <w:r>
          <w:rPr>
            <w:rStyle w:val="wpkeywordlink"/>
            <w:color w:val="0066CC"/>
            <w:sz w:val="18"/>
            <w:szCs w:val="18"/>
            <w:u w:val="single"/>
          </w:rPr>
          <w:t>诉讼</w:t>
        </w:r>
      </w:hyperlink>
      <w:r>
        <w:rPr>
          <w:color w:val="364F56"/>
          <w:sz w:val="18"/>
          <w:szCs w:val="18"/>
        </w:rPr>
        <w:t>中，人民法院应当通知无效宣告请求程序的对方当事人作为第三人参加</w:t>
      </w:r>
      <w:hyperlink r:id="rId9" w:tgtFrame="_blank" w:tooltip="诉讼" w:history="1">
        <w:r>
          <w:rPr>
            <w:rStyle w:val="wpkeywordlink"/>
            <w:color w:val="0066CC"/>
            <w:sz w:val="18"/>
            <w:szCs w:val="18"/>
            <w:u w:val="single"/>
          </w:rPr>
          <w:t>诉讼</w:t>
        </w:r>
      </w:hyperlink>
      <w:r>
        <w:rPr>
          <w:color w:val="364F56"/>
          <w:sz w:val="18"/>
          <w:szCs w:val="18"/>
        </w:rPr>
        <w:t>。如果人民法院不能通知到第三人或者第三人接到通知后</w:t>
      </w:r>
      <w:proofErr w:type="gramStart"/>
      <w:r>
        <w:rPr>
          <w:color w:val="364F56"/>
          <w:sz w:val="18"/>
          <w:szCs w:val="18"/>
        </w:rPr>
        <w:t>不</w:t>
      </w:r>
      <w:proofErr w:type="gramEnd"/>
      <w:r>
        <w:rPr>
          <w:color w:val="364F56"/>
          <w:sz w:val="18"/>
          <w:szCs w:val="18"/>
        </w:rPr>
        <w:t>到庭参加诉讼的如何处理？</w:t>
      </w:r>
    </w:p>
    <w:p w:rsidR="001903D8" w:rsidRDefault="001903D8" w:rsidP="001903D8">
      <w:pPr>
        <w:pStyle w:val="a3"/>
        <w:rPr>
          <w:color w:val="364F56"/>
          <w:sz w:val="18"/>
          <w:szCs w:val="18"/>
        </w:rPr>
      </w:pPr>
      <w:r>
        <w:rPr>
          <w:color w:val="364F56"/>
          <w:sz w:val="18"/>
          <w:szCs w:val="18"/>
        </w:rPr>
        <w:t>在专利无效行政诉讼中，无效宣告请求程序的请求人和专利权人均为与</w:t>
      </w:r>
      <w:hyperlink r:id="rId10" w:tgtFrame="_blank" w:tooltip="专利复审" w:history="1">
        <w:r>
          <w:rPr>
            <w:rStyle w:val="wpkeywordlink"/>
            <w:color w:val="0066CC"/>
            <w:sz w:val="18"/>
            <w:szCs w:val="18"/>
            <w:u w:val="single"/>
          </w:rPr>
          <w:t>专利复审</w:t>
        </w:r>
      </w:hyperlink>
      <w:r>
        <w:rPr>
          <w:color w:val="364F56"/>
          <w:sz w:val="18"/>
          <w:szCs w:val="18"/>
        </w:rPr>
        <w:t>委员会的决定有利害关系的当事人，请求人或者专利权人对</w:t>
      </w:r>
      <w:hyperlink r:id="rId11" w:tgtFrame="_blank" w:tooltip="专利复审" w:history="1">
        <w:r>
          <w:rPr>
            <w:rStyle w:val="wpkeywordlink"/>
            <w:color w:val="0066CC"/>
            <w:sz w:val="18"/>
            <w:szCs w:val="18"/>
            <w:u w:val="single"/>
          </w:rPr>
          <w:t>专利复审</w:t>
        </w:r>
      </w:hyperlink>
      <w:r>
        <w:rPr>
          <w:color w:val="364F56"/>
          <w:sz w:val="18"/>
          <w:szCs w:val="18"/>
        </w:rPr>
        <w:t>委员会的决定不服提起诉讼的，人民法院应当通知另一方当事人作为第三人参加诉讼。第三人对人民法院的第一审判决不服的，有权提起上诉。因此，人民法院通知不到第三人的，应当公告送达通知；第三人接到通知后</w:t>
      </w:r>
      <w:proofErr w:type="gramStart"/>
      <w:r>
        <w:rPr>
          <w:color w:val="364F56"/>
          <w:sz w:val="18"/>
          <w:szCs w:val="18"/>
        </w:rPr>
        <w:t>不</w:t>
      </w:r>
      <w:proofErr w:type="gramEnd"/>
      <w:r>
        <w:rPr>
          <w:color w:val="364F56"/>
          <w:sz w:val="18"/>
          <w:szCs w:val="18"/>
        </w:rPr>
        <w:t>到庭参加诉讼的，应说明理由并明确是否放弃其所有的诉讼权利；公告送达或者接到通知后</w:t>
      </w:r>
      <w:proofErr w:type="gramStart"/>
      <w:r>
        <w:rPr>
          <w:color w:val="364F56"/>
          <w:sz w:val="18"/>
          <w:szCs w:val="18"/>
        </w:rPr>
        <w:t>不</w:t>
      </w:r>
      <w:proofErr w:type="gramEnd"/>
      <w:r>
        <w:rPr>
          <w:color w:val="364F56"/>
          <w:sz w:val="18"/>
          <w:szCs w:val="18"/>
        </w:rPr>
        <w:t>到庭参加诉讼，也不明确放弃权利的，仍应列为第三人。</w:t>
      </w:r>
    </w:p>
    <w:p w:rsidR="001903D8" w:rsidRDefault="001903D8" w:rsidP="001903D8">
      <w:pPr>
        <w:pStyle w:val="a3"/>
        <w:rPr>
          <w:color w:val="364F56"/>
          <w:sz w:val="18"/>
          <w:szCs w:val="18"/>
        </w:rPr>
      </w:pPr>
      <w:r>
        <w:rPr>
          <w:color w:val="364F56"/>
          <w:sz w:val="18"/>
          <w:szCs w:val="18"/>
        </w:rPr>
        <w:t>对有关商标确权行政诉讼中的第三人，参照此办法处理。</w:t>
      </w:r>
    </w:p>
    <w:p w:rsidR="001903D8" w:rsidRDefault="001903D8" w:rsidP="001903D8">
      <w:pPr>
        <w:pStyle w:val="a3"/>
        <w:rPr>
          <w:color w:val="364F56"/>
          <w:sz w:val="18"/>
          <w:szCs w:val="18"/>
        </w:rPr>
      </w:pPr>
      <w:r>
        <w:rPr>
          <w:color w:val="364F56"/>
          <w:sz w:val="18"/>
          <w:szCs w:val="18"/>
        </w:rPr>
        <w:t>二、专利类</w:t>
      </w:r>
    </w:p>
    <w:p w:rsidR="001903D8" w:rsidRDefault="001903D8" w:rsidP="001903D8">
      <w:pPr>
        <w:pStyle w:val="a3"/>
        <w:rPr>
          <w:color w:val="364F56"/>
          <w:sz w:val="18"/>
          <w:szCs w:val="18"/>
        </w:rPr>
      </w:pPr>
      <w:r>
        <w:rPr>
          <w:color w:val="364F56"/>
          <w:sz w:val="18"/>
          <w:szCs w:val="18"/>
        </w:rPr>
        <w:t>4. 如何理解检索报告的性质？</w:t>
      </w:r>
    </w:p>
    <w:p w:rsidR="001903D8" w:rsidRDefault="001903D8" w:rsidP="001903D8">
      <w:pPr>
        <w:pStyle w:val="a3"/>
        <w:rPr>
          <w:color w:val="364F56"/>
          <w:sz w:val="18"/>
          <w:szCs w:val="18"/>
        </w:rPr>
      </w:pPr>
      <w:r>
        <w:rPr>
          <w:color w:val="364F56"/>
          <w:sz w:val="18"/>
          <w:szCs w:val="18"/>
        </w:rPr>
        <w:t>专利法第五十七条第二款规定，</w:t>
      </w:r>
      <w:hyperlink r:id="rId12" w:tgtFrame="_blank" w:tooltip="专利侵权" w:history="1">
        <w:r>
          <w:rPr>
            <w:rStyle w:val="wpkeywordlink"/>
            <w:color w:val="0066CC"/>
            <w:sz w:val="18"/>
            <w:szCs w:val="18"/>
            <w:u w:val="single"/>
          </w:rPr>
          <w:t>专利侵权</w:t>
        </w:r>
      </w:hyperlink>
      <w:r>
        <w:rPr>
          <w:color w:val="364F56"/>
          <w:sz w:val="18"/>
          <w:szCs w:val="18"/>
        </w:rPr>
        <w:t>诉讼涉及实用新型专利的，人民法院可以要求专利权人出具由国务院专利行政部门</w:t>
      </w:r>
      <w:proofErr w:type="gramStart"/>
      <w:r>
        <w:rPr>
          <w:color w:val="364F56"/>
          <w:sz w:val="18"/>
          <w:szCs w:val="18"/>
        </w:rPr>
        <w:t>作出</w:t>
      </w:r>
      <w:proofErr w:type="gramEnd"/>
      <w:r>
        <w:rPr>
          <w:color w:val="364F56"/>
          <w:sz w:val="18"/>
          <w:szCs w:val="18"/>
        </w:rPr>
        <w:t>的检索报告。专利法这一规定的目的是，在一定程度上克服实用新型专利权法律确定性不够的缺点，避免不必要的专利权转让、许可活动和</w:t>
      </w:r>
      <w:hyperlink r:id="rId13" w:tgtFrame="_blank" w:tooltip="专利侵权" w:history="1">
        <w:r>
          <w:rPr>
            <w:rStyle w:val="wpkeywordlink"/>
            <w:color w:val="0066CC"/>
            <w:sz w:val="18"/>
            <w:szCs w:val="18"/>
            <w:u w:val="single"/>
          </w:rPr>
          <w:t>专利侵权</w:t>
        </w:r>
      </w:hyperlink>
      <w:r>
        <w:rPr>
          <w:color w:val="364F56"/>
          <w:sz w:val="18"/>
          <w:szCs w:val="18"/>
        </w:rPr>
        <w:t>诉讼。在检索报告中，对实用新型专利不符合新颖性或者创造性规定的，国务院专利行政部门应当引证对比文件，说明理由，并附具所引证对比文件的复印件。因此，检索报告仅针对新颖性和创造性这两项条件，不是对实用新型专利进行全面的实质审查；检索报告的效力与国家知识产权局在发明专利的实质审查中得出的审查结论、专利复审委员会在无效宣告请求程序中</w:t>
      </w:r>
      <w:proofErr w:type="gramStart"/>
      <w:r>
        <w:rPr>
          <w:color w:val="364F56"/>
          <w:sz w:val="18"/>
          <w:szCs w:val="18"/>
        </w:rPr>
        <w:t>作出</w:t>
      </w:r>
      <w:proofErr w:type="gramEnd"/>
      <w:r>
        <w:rPr>
          <w:color w:val="364F56"/>
          <w:sz w:val="18"/>
          <w:szCs w:val="18"/>
        </w:rPr>
        <w:t>的无效决定不同，只能作为实用新型专利权有效性的初步证据。</w:t>
      </w:r>
    </w:p>
    <w:p w:rsidR="001903D8" w:rsidRDefault="001903D8" w:rsidP="001903D8">
      <w:pPr>
        <w:pStyle w:val="a3"/>
        <w:rPr>
          <w:color w:val="364F56"/>
          <w:sz w:val="18"/>
          <w:szCs w:val="18"/>
        </w:rPr>
      </w:pPr>
      <w:r>
        <w:rPr>
          <w:color w:val="364F56"/>
          <w:sz w:val="18"/>
          <w:szCs w:val="18"/>
        </w:rPr>
        <w:t>三、著作权类</w:t>
      </w:r>
    </w:p>
    <w:p w:rsidR="001903D8" w:rsidRDefault="001903D8" w:rsidP="001903D8">
      <w:pPr>
        <w:pStyle w:val="a3"/>
        <w:rPr>
          <w:color w:val="364F56"/>
          <w:sz w:val="18"/>
          <w:szCs w:val="18"/>
        </w:rPr>
      </w:pPr>
      <w:r>
        <w:rPr>
          <w:color w:val="364F56"/>
          <w:sz w:val="18"/>
          <w:szCs w:val="18"/>
        </w:rPr>
        <w:t>5. 如何理解汇编作品的保护范围？</w:t>
      </w:r>
    </w:p>
    <w:p w:rsidR="001903D8" w:rsidRDefault="001903D8" w:rsidP="001903D8">
      <w:pPr>
        <w:pStyle w:val="a3"/>
        <w:rPr>
          <w:color w:val="364F56"/>
          <w:sz w:val="18"/>
          <w:szCs w:val="18"/>
        </w:rPr>
      </w:pPr>
      <w:r>
        <w:rPr>
          <w:color w:val="364F56"/>
          <w:sz w:val="18"/>
          <w:szCs w:val="18"/>
        </w:rPr>
        <w:lastRenderedPageBreak/>
        <w:t>汇编作品的独创性体现在按照特定要求对内容进行选择或者对内容进行编排上，因此，汇编作品的保护范围是指对其内容的选择或者编排。在判断被控侵权物是否侵犯了汇编作品的著作权时，应看被控侵权物是否使用了汇编作品的选择或者编排。被控侵权物使用了汇编作品的大部分内容或者汇编作品的实质部分的，亦可以认定构成对汇编作品的选择或者编排的使用。</w:t>
      </w:r>
    </w:p>
    <w:p w:rsidR="001903D8" w:rsidRDefault="001903D8" w:rsidP="001903D8">
      <w:pPr>
        <w:pStyle w:val="a3"/>
        <w:rPr>
          <w:color w:val="364F56"/>
          <w:sz w:val="18"/>
          <w:szCs w:val="18"/>
        </w:rPr>
      </w:pPr>
      <w:r>
        <w:rPr>
          <w:color w:val="364F56"/>
          <w:sz w:val="18"/>
          <w:szCs w:val="18"/>
        </w:rPr>
        <w:t>6. 如何判断被控侵权物是否落入专有使用权（包括专有出</w:t>
      </w:r>
      <w:hyperlink r:id="rId14" w:tgtFrame="_blank" w:tooltip="版权" w:history="1">
        <w:r>
          <w:rPr>
            <w:rStyle w:val="wpkeywordlink"/>
            <w:color w:val="0066CC"/>
            <w:sz w:val="18"/>
            <w:szCs w:val="18"/>
            <w:u w:val="single"/>
          </w:rPr>
          <w:t>版权</w:t>
        </w:r>
      </w:hyperlink>
      <w:r>
        <w:rPr>
          <w:color w:val="364F56"/>
          <w:sz w:val="18"/>
          <w:szCs w:val="18"/>
        </w:rPr>
        <w:t>）的保护范围？</w:t>
      </w:r>
    </w:p>
    <w:p w:rsidR="001903D8" w:rsidRDefault="001903D8" w:rsidP="001903D8">
      <w:pPr>
        <w:pStyle w:val="a3"/>
        <w:rPr>
          <w:color w:val="364F56"/>
          <w:sz w:val="18"/>
          <w:szCs w:val="18"/>
        </w:rPr>
      </w:pPr>
      <w:r>
        <w:rPr>
          <w:color w:val="364F56"/>
          <w:sz w:val="18"/>
          <w:szCs w:val="18"/>
        </w:rPr>
        <w:t>作品的专有使用权是一种可排除他人以相同方式使用作品的权利。被控侵权物以与专有使用相同的方式完整使用了享有专有使用权的作品，或者使用了该作品的实质部分的，均落入专有使用权的保护范围。</w:t>
      </w:r>
    </w:p>
    <w:p w:rsidR="001903D8" w:rsidRDefault="001903D8" w:rsidP="001903D8">
      <w:pPr>
        <w:pStyle w:val="a3"/>
        <w:rPr>
          <w:color w:val="364F56"/>
          <w:sz w:val="18"/>
          <w:szCs w:val="18"/>
        </w:rPr>
      </w:pPr>
      <w:r>
        <w:rPr>
          <w:color w:val="364F56"/>
          <w:sz w:val="18"/>
          <w:szCs w:val="18"/>
        </w:rPr>
        <w:t>7. 争议作品是合作作品，作者人数众多的，如何确定诉讼当事人？</w:t>
      </w:r>
    </w:p>
    <w:p w:rsidR="001903D8" w:rsidRDefault="001903D8" w:rsidP="001903D8">
      <w:pPr>
        <w:pStyle w:val="a3"/>
        <w:rPr>
          <w:color w:val="364F56"/>
          <w:sz w:val="18"/>
          <w:szCs w:val="18"/>
        </w:rPr>
      </w:pPr>
      <w:r>
        <w:rPr>
          <w:color w:val="364F56"/>
          <w:sz w:val="18"/>
          <w:szCs w:val="18"/>
        </w:rPr>
        <w:t>合作作品的著作权由合作作者共同享有。因此，涉及争议作品是合作作品的诉讼是必要共同诉讼，合作作品的作者均为必要共同诉讼的当事人；合作作品作者没有参加诉讼的，应当通知其参加诉讼；作者下落不明，或者利用直接送达等方式无法送达的，可以依照</w:t>
      </w:r>
      <w:hyperlink r:id="rId15" w:tgtFrame="_blank" w:tooltip="民事诉讼法" w:history="1">
        <w:r>
          <w:rPr>
            <w:rStyle w:val="wpkeywordlink"/>
            <w:color w:val="0066CC"/>
            <w:sz w:val="18"/>
            <w:szCs w:val="18"/>
            <w:u w:val="single"/>
          </w:rPr>
          <w:t>民事诉讼法</w:t>
        </w:r>
      </w:hyperlink>
      <w:r>
        <w:rPr>
          <w:color w:val="364F56"/>
          <w:sz w:val="18"/>
          <w:szCs w:val="18"/>
        </w:rPr>
        <w:t>第八十四条的规定公告送达。</w:t>
      </w:r>
    </w:p>
    <w:p w:rsidR="001903D8" w:rsidRDefault="001903D8" w:rsidP="001903D8">
      <w:pPr>
        <w:pStyle w:val="a3"/>
        <w:rPr>
          <w:color w:val="364F56"/>
          <w:sz w:val="18"/>
          <w:szCs w:val="18"/>
        </w:rPr>
      </w:pPr>
      <w:r>
        <w:rPr>
          <w:color w:val="364F56"/>
          <w:sz w:val="18"/>
          <w:szCs w:val="18"/>
        </w:rPr>
        <w:t>涉及争议合作作品可以分割使用的，作者对其创作部分单独享有著作权，因此，作者仅对其享有著作权部分主张权利的，不是必要共同诉讼。</w:t>
      </w:r>
    </w:p>
    <w:p w:rsidR="001903D8" w:rsidRDefault="001903D8" w:rsidP="001903D8">
      <w:pPr>
        <w:pStyle w:val="a3"/>
        <w:rPr>
          <w:color w:val="364F56"/>
          <w:sz w:val="18"/>
          <w:szCs w:val="18"/>
        </w:rPr>
      </w:pPr>
      <w:r>
        <w:rPr>
          <w:color w:val="364F56"/>
          <w:sz w:val="18"/>
          <w:szCs w:val="18"/>
        </w:rPr>
        <w:t>8. 涉及计算机网络的著作权侵权诉讼，原告仅起诉网络服务商，没有起诉直接提供侵权信息的用户的，是否可以？</w:t>
      </w:r>
    </w:p>
    <w:p w:rsidR="001903D8" w:rsidRDefault="001903D8" w:rsidP="001903D8">
      <w:pPr>
        <w:pStyle w:val="a3"/>
        <w:rPr>
          <w:color w:val="364F56"/>
          <w:sz w:val="18"/>
          <w:szCs w:val="18"/>
        </w:rPr>
      </w:pPr>
      <w:r>
        <w:rPr>
          <w:color w:val="364F56"/>
          <w:sz w:val="18"/>
          <w:szCs w:val="18"/>
        </w:rPr>
        <w:t>可比照北京市高级人民法院《关于审理著作权纠纷案件若干问题的解答》第40条的规定处理。</w:t>
      </w:r>
    </w:p>
    <w:p w:rsidR="001903D8" w:rsidRDefault="001903D8" w:rsidP="001903D8">
      <w:pPr>
        <w:pStyle w:val="a3"/>
        <w:rPr>
          <w:color w:val="364F56"/>
          <w:sz w:val="18"/>
          <w:szCs w:val="18"/>
        </w:rPr>
      </w:pPr>
      <w:r>
        <w:rPr>
          <w:color w:val="364F56"/>
          <w:sz w:val="18"/>
          <w:szCs w:val="18"/>
        </w:rPr>
        <w:t>9. 修改后的著作权法对侵害著作权的损害赔偿规定了法定赔偿方法，按照国家规定付酬标准的倍数计算赔偿数额的方法能否继续适用？</w:t>
      </w:r>
    </w:p>
    <w:p w:rsidR="001903D8" w:rsidRDefault="001903D8" w:rsidP="001903D8">
      <w:pPr>
        <w:pStyle w:val="a3"/>
        <w:rPr>
          <w:color w:val="364F56"/>
          <w:sz w:val="18"/>
          <w:szCs w:val="18"/>
        </w:rPr>
      </w:pPr>
      <w:r>
        <w:rPr>
          <w:color w:val="364F56"/>
          <w:sz w:val="18"/>
          <w:szCs w:val="18"/>
        </w:rPr>
        <w:t>根据著作权法第四十八条第三款的规定，法定赔偿适用的前提，是权利人的实际损失或者侵权人的违法所得不能确定，而北京市高级人民法院《关于审理著作权纠纷案件若干问题的解答》第37条第（3）款“国家规定有付酬标准的，按付酬标准的2——5倍计算赔偿数额。”规定的基础是，权利人的部分损失能够查清。因此，该赔偿计算方法可以继续适用。</w:t>
      </w:r>
    </w:p>
    <w:p w:rsidR="001903D8" w:rsidRDefault="001903D8" w:rsidP="001903D8">
      <w:pPr>
        <w:pStyle w:val="a3"/>
        <w:rPr>
          <w:color w:val="364F56"/>
          <w:sz w:val="18"/>
          <w:szCs w:val="18"/>
        </w:rPr>
      </w:pPr>
      <w:r>
        <w:rPr>
          <w:color w:val="364F56"/>
          <w:sz w:val="18"/>
          <w:szCs w:val="18"/>
        </w:rPr>
        <w:t>四、商标类</w:t>
      </w:r>
    </w:p>
    <w:p w:rsidR="001903D8" w:rsidRDefault="001903D8" w:rsidP="001903D8">
      <w:pPr>
        <w:pStyle w:val="a3"/>
        <w:rPr>
          <w:color w:val="364F56"/>
          <w:sz w:val="18"/>
          <w:szCs w:val="18"/>
        </w:rPr>
      </w:pPr>
      <w:r>
        <w:rPr>
          <w:color w:val="364F56"/>
          <w:sz w:val="18"/>
          <w:szCs w:val="18"/>
        </w:rPr>
        <w:t>10. 如何判定文字商标是否近似？</w:t>
      </w:r>
    </w:p>
    <w:p w:rsidR="001903D8" w:rsidRDefault="001903D8" w:rsidP="001903D8">
      <w:pPr>
        <w:pStyle w:val="a3"/>
        <w:rPr>
          <w:color w:val="364F56"/>
          <w:sz w:val="18"/>
          <w:szCs w:val="18"/>
        </w:rPr>
      </w:pPr>
      <w:r>
        <w:rPr>
          <w:color w:val="364F56"/>
          <w:sz w:val="18"/>
          <w:szCs w:val="18"/>
        </w:rPr>
        <w:t>判断文字商标是否近似应以是否造成普通消费者的误认为标准，考虑所用文字在读音、字体、含义、排列顺序等方面是否容易引起误认，并应当将文字商标作为一个整体来看待。</w:t>
      </w:r>
    </w:p>
    <w:p w:rsidR="001903D8" w:rsidRDefault="001903D8" w:rsidP="001903D8">
      <w:pPr>
        <w:pStyle w:val="a3"/>
        <w:rPr>
          <w:color w:val="364F56"/>
          <w:sz w:val="18"/>
          <w:szCs w:val="18"/>
        </w:rPr>
      </w:pPr>
      <w:r>
        <w:rPr>
          <w:color w:val="364F56"/>
          <w:sz w:val="18"/>
          <w:szCs w:val="18"/>
        </w:rPr>
        <w:t>一般情况下，属于下列情形之一的，可以判为近似商标：</w:t>
      </w:r>
    </w:p>
    <w:p w:rsidR="001903D8" w:rsidRDefault="001903D8" w:rsidP="001903D8">
      <w:pPr>
        <w:pStyle w:val="a3"/>
        <w:rPr>
          <w:color w:val="364F56"/>
          <w:sz w:val="18"/>
          <w:szCs w:val="18"/>
        </w:rPr>
      </w:pPr>
      <w:r>
        <w:rPr>
          <w:color w:val="364F56"/>
          <w:sz w:val="18"/>
          <w:szCs w:val="18"/>
        </w:rPr>
        <w:t>（1）字形不同但文字读音、含义相同的；</w:t>
      </w:r>
    </w:p>
    <w:p w:rsidR="001903D8" w:rsidRDefault="001903D8" w:rsidP="001903D8">
      <w:pPr>
        <w:pStyle w:val="a3"/>
        <w:rPr>
          <w:color w:val="364F56"/>
          <w:sz w:val="18"/>
          <w:szCs w:val="18"/>
        </w:rPr>
      </w:pPr>
      <w:r>
        <w:rPr>
          <w:color w:val="364F56"/>
          <w:sz w:val="18"/>
          <w:szCs w:val="18"/>
        </w:rPr>
        <w:t>（2）文字不同但读音相同、字形近似且文字无含义，会给消费者造成误认的；</w:t>
      </w:r>
    </w:p>
    <w:p w:rsidR="001903D8" w:rsidRDefault="001903D8" w:rsidP="001903D8">
      <w:pPr>
        <w:pStyle w:val="a3"/>
        <w:rPr>
          <w:color w:val="364F56"/>
          <w:sz w:val="18"/>
          <w:szCs w:val="18"/>
        </w:rPr>
      </w:pPr>
      <w:r>
        <w:rPr>
          <w:color w:val="364F56"/>
          <w:sz w:val="18"/>
          <w:szCs w:val="18"/>
        </w:rPr>
        <w:lastRenderedPageBreak/>
        <w:t>（3）由三个以上的字组成、无确定含义但排列顺序相同的；或者虽然排列顺序不同但发音近似、字形近似的；</w:t>
      </w:r>
    </w:p>
    <w:p w:rsidR="001903D8" w:rsidRDefault="001903D8" w:rsidP="001903D8">
      <w:pPr>
        <w:pStyle w:val="a3"/>
        <w:rPr>
          <w:color w:val="364F56"/>
          <w:sz w:val="18"/>
          <w:szCs w:val="18"/>
        </w:rPr>
      </w:pPr>
      <w:r>
        <w:rPr>
          <w:color w:val="364F56"/>
          <w:sz w:val="18"/>
          <w:szCs w:val="18"/>
        </w:rPr>
        <w:t>（4）由外文字母组成的无含义商标，部分字母相同且排列顺序相同，或者虽然排列顺序不同但发音、字形近似，容易造成误认的；</w:t>
      </w:r>
    </w:p>
    <w:p w:rsidR="001903D8" w:rsidRDefault="001903D8" w:rsidP="001903D8">
      <w:pPr>
        <w:pStyle w:val="a3"/>
        <w:rPr>
          <w:color w:val="364F56"/>
          <w:sz w:val="18"/>
          <w:szCs w:val="18"/>
        </w:rPr>
      </w:pPr>
      <w:r>
        <w:rPr>
          <w:color w:val="364F56"/>
          <w:sz w:val="18"/>
          <w:szCs w:val="18"/>
        </w:rPr>
        <w:t>（5）可以判定为近似商标的其他情形。</w:t>
      </w:r>
    </w:p>
    <w:p w:rsidR="001903D8" w:rsidRDefault="001903D8" w:rsidP="001903D8">
      <w:pPr>
        <w:pStyle w:val="a3"/>
        <w:rPr>
          <w:color w:val="364F56"/>
          <w:sz w:val="18"/>
          <w:szCs w:val="18"/>
        </w:rPr>
      </w:pPr>
      <w:r>
        <w:rPr>
          <w:color w:val="364F56"/>
          <w:sz w:val="18"/>
          <w:szCs w:val="18"/>
        </w:rPr>
        <w:t>11. 如何判断“足以造成误认”？</w:t>
      </w:r>
    </w:p>
    <w:p w:rsidR="001903D8" w:rsidRDefault="001903D8" w:rsidP="001903D8">
      <w:pPr>
        <w:pStyle w:val="a3"/>
        <w:rPr>
          <w:color w:val="364F56"/>
          <w:sz w:val="18"/>
          <w:szCs w:val="18"/>
        </w:rPr>
      </w:pPr>
      <w:r>
        <w:rPr>
          <w:color w:val="364F56"/>
          <w:sz w:val="18"/>
          <w:szCs w:val="18"/>
        </w:rPr>
        <w:t>足以造成误认是指已经或可能对商品来源产生误认，已经或可能对商品的生产者、销售者或服务的提供者与</w:t>
      </w:r>
      <w:hyperlink r:id="rId16" w:tgtFrame="_blank" w:tooltip="商标注册" w:history="1">
        <w:r>
          <w:rPr>
            <w:rStyle w:val="wpkeywordlink"/>
            <w:color w:val="0066CC"/>
            <w:sz w:val="18"/>
            <w:szCs w:val="18"/>
            <w:u w:val="single"/>
          </w:rPr>
          <w:t>商标注册</w:t>
        </w:r>
      </w:hyperlink>
      <w:r>
        <w:rPr>
          <w:color w:val="364F56"/>
          <w:sz w:val="18"/>
          <w:szCs w:val="18"/>
        </w:rPr>
        <w:t>人之间存在某种联系产生错误认识。判断“足以造成误认”，应以普通消费者的注意能力为标准，并参考商品或服务的具体特点、差异大小、价格高低、知名度等因素综合判断。</w:t>
      </w:r>
    </w:p>
    <w:p w:rsidR="001903D8" w:rsidRDefault="001903D8" w:rsidP="001903D8">
      <w:pPr>
        <w:pStyle w:val="a3"/>
        <w:rPr>
          <w:color w:val="364F56"/>
          <w:sz w:val="18"/>
          <w:szCs w:val="18"/>
        </w:rPr>
      </w:pPr>
      <w:r>
        <w:rPr>
          <w:color w:val="364F56"/>
          <w:sz w:val="18"/>
          <w:szCs w:val="18"/>
        </w:rPr>
        <w:t>12. 如何判定商品和服务是否类似？</w:t>
      </w:r>
    </w:p>
    <w:p w:rsidR="001903D8" w:rsidRDefault="001903D8" w:rsidP="001903D8">
      <w:pPr>
        <w:pStyle w:val="a3"/>
        <w:rPr>
          <w:color w:val="364F56"/>
          <w:sz w:val="18"/>
          <w:szCs w:val="18"/>
        </w:rPr>
      </w:pPr>
      <w:r>
        <w:rPr>
          <w:color w:val="364F56"/>
          <w:sz w:val="18"/>
          <w:szCs w:val="18"/>
        </w:rPr>
        <w:t>判定商品与服务是否类似应考虑下列标准：商品与服务在性质上的相关程度，在用途、用户、通常效用、销售渠道及销售习惯等方面的一致性，即在商品和服务中使用相同或类似商标，是否会导致普通消费者误认为商品和服务来自于同一市场主体。</w:t>
      </w:r>
    </w:p>
    <w:p w:rsidR="001903D8" w:rsidRDefault="001903D8" w:rsidP="001903D8">
      <w:pPr>
        <w:pStyle w:val="a3"/>
        <w:rPr>
          <w:color w:val="364F56"/>
          <w:sz w:val="18"/>
          <w:szCs w:val="18"/>
        </w:rPr>
      </w:pPr>
      <w:r>
        <w:rPr>
          <w:color w:val="364F56"/>
          <w:sz w:val="18"/>
          <w:szCs w:val="18"/>
        </w:rPr>
        <w:t>五、不正当竞争类</w:t>
      </w:r>
    </w:p>
    <w:p w:rsidR="001903D8" w:rsidRDefault="001903D8" w:rsidP="001903D8">
      <w:pPr>
        <w:pStyle w:val="a3"/>
        <w:rPr>
          <w:color w:val="364F56"/>
          <w:sz w:val="18"/>
          <w:szCs w:val="18"/>
        </w:rPr>
      </w:pPr>
      <w:r>
        <w:rPr>
          <w:color w:val="364F56"/>
          <w:sz w:val="18"/>
          <w:szCs w:val="18"/>
        </w:rPr>
        <w:t>13. 如何认定保密措施已符合法律规定？</w:t>
      </w:r>
    </w:p>
    <w:p w:rsidR="001903D8" w:rsidRDefault="001903D8" w:rsidP="001903D8">
      <w:pPr>
        <w:pStyle w:val="a3"/>
        <w:rPr>
          <w:color w:val="364F56"/>
          <w:sz w:val="18"/>
          <w:szCs w:val="18"/>
        </w:rPr>
      </w:pPr>
      <w:r>
        <w:rPr>
          <w:color w:val="364F56"/>
          <w:sz w:val="18"/>
          <w:szCs w:val="18"/>
        </w:rPr>
        <w:t>符合《反不正当竞争法》规定的保密措施应当是指：所有人采取了使被保密的信息不为外界所知的实际措施；与被控泄露商业秘密的工作人员约定有保密合同或者制定了对其有约束力的保密制度并为其所知悉，并指明了被保密的信息及其范围。</w:t>
      </w:r>
    </w:p>
    <w:p w:rsidR="001903D8" w:rsidRDefault="001903D8" w:rsidP="001903D8">
      <w:pPr>
        <w:pStyle w:val="a3"/>
        <w:rPr>
          <w:color w:val="364F56"/>
          <w:sz w:val="18"/>
          <w:szCs w:val="18"/>
        </w:rPr>
      </w:pPr>
      <w:r>
        <w:rPr>
          <w:color w:val="364F56"/>
          <w:sz w:val="18"/>
          <w:szCs w:val="18"/>
        </w:rPr>
        <w:t>14. 如何确定客户名单构成商业秘密的标准？</w:t>
      </w:r>
    </w:p>
    <w:p w:rsidR="001903D8" w:rsidRDefault="001903D8" w:rsidP="001903D8">
      <w:pPr>
        <w:pStyle w:val="a3"/>
        <w:rPr>
          <w:color w:val="364F56"/>
          <w:sz w:val="18"/>
          <w:szCs w:val="18"/>
        </w:rPr>
      </w:pPr>
      <w:r>
        <w:rPr>
          <w:color w:val="364F56"/>
          <w:sz w:val="18"/>
          <w:szCs w:val="18"/>
        </w:rPr>
        <w:t>客户名单构成商业秘密，应符合商业秘密构成的一般要件，应特别注意审查客户名单是否是特有的或者是否具有特殊性；客户名单是否由权利人通过劳动、金钱等投入获得的。</w:t>
      </w:r>
    </w:p>
    <w:p w:rsidR="001903D8" w:rsidRDefault="001903D8" w:rsidP="001903D8">
      <w:pPr>
        <w:pStyle w:val="a3"/>
        <w:rPr>
          <w:color w:val="364F56"/>
          <w:sz w:val="18"/>
          <w:szCs w:val="18"/>
        </w:rPr>
      </w:pPr>
      <w:r>
        <w:rPr>
          <w:color w:val="364F56"/>
          <w:sz w:val="18"/>
          <w:szCs w:val="18"/>
        </w:rPr>
        <w:t>15. 如何适用竞业限制？</w:t>
      </w:r>
    </w:p>
    <w:p w:rsidR="001903D8" w:rsidRDefault="001903D8" w:rsidP="001903D8">
      <w:pPr>
        <w:pStyle w:val="a3"/>
        <w:rPr>
          <w:color w:val="364F56"/>
          <w:sz w:val="18"/>
          <w:szCs w:val="18"/>
        </w:rPr>
      </w:pPr>
      <w:r>
        <w:rPr>
          <w:color w:val="364F56"/>
          <w:sz w:val="18"/>
          <w:szCs w:val="18"/>
        </w:rPr>
        <w:t>除法律另有规定，当事人可以就竞业限制</w:t>
      </w:r>
      <w:proofErr w:type="gramStart"/>
      <w:r>
        <w:rPr>
          <w:color w:val="364F56"/>
          <w:sz w:val="18"/>
          <w:szCs w:val="18"/>
        </w:rPr>
        <w:t>作出</w:t>
      </w:r>
      <w:proofErr w:type="gramEnd"/>
      <w:r>
        <w:rPr>
          <w:color w:val="364F56"/>
          <w:sz w:val="18"/>
          <w:szCs w:val="18"/>
        </w:rPr>
        <w:t>约定，并受法律保护。竞业限制条款一般应包括竞业限制的具体范围、期限、补偿费的数额及支付办法、违约责任等内容。</w:t>
      </w:r>
    </w:p>
    <w:p w:rsidR="001903D8" w:rsidRDefault="001903D8" w:rsidP="001903D8">
      <w:pPr>
        <w:pStyle w:val="a3"/>
        <w:rPr>
          <w:color w:val="364F56"/>
          <w:sz w:val="18"/>
          <w:szCs w:val="18"/>
        </w:rPr>
      </w:pPr>
      <w:r>
        <w:rPr>
          <w:color w:val="364F56"/>
          <w:sz w:val="18"/>
          <w:szCs w:val="18"/>
        </w:rPr>
        <w:t>有关竞业限制的期限、补偿费的约定显失公平的，应由当事人请求变更或者撤销，当事人没有提出请求的，人民法院不宜认定该约定无效。</w:t>
      </w:r>
    </w:p>
    <w:p w:rsidR="001903D8" w:rsidRDefault="001903D8" w:rsidP="001903D8">
      <w:pPr>
        <w:pStyle w:val="a3"/>
        <w:rPr>
          <w:color w:val="364F56"/>
          <w:sz w:val="18"/>
          <w:szCs w:val="18"/>
        </w:rPr>
      </w:pPr>
      <w:r>
        <w:rPr>
          <w:color w:val="364F56"/>
          <w:sz w:val="18"/>
          <w:szCs w:val="18"/>
        </w:rPr>
        <w:t>16. 构成不正当竞争是否要求经营者是同业经营者？</w:t>
      </w:r>
    </w:p>
    <w:p w:rsidR="001903D8" w:rsidRDefault="001903D8" w:rsidP="001903D8">
      <w:pPr>
        <w:pStyle w:val="a3"/>
        <w:rPr>
          <w:color w:val="364F56"/>
          <w:sz w:val="18"/>
          <w:szCs w:val="18"/>
        </w:rPr>
      </w:pPr>
      <w:r>
        <w:rPr>
          <w:color w:val="364F56"/>
          <w:sz w:val="18"/>
          <w:szCs w:val="18"/>
        </w:rPr>
        <w:t>通常，只有同行业的经营者之间才有商品或者服务上的竞争关系，因此，不正当竞争行为一般发生在同行业经营者之间。但不同行业经营者以冒充方式使客户对商品或者服务产生误认，或者以虚假表示、虚假宣传等方式使客户对商品的生产者、服务的提供者产生误认的，也可以构成不正当竞争。</w:t>
      </w:r>
    </w:p>
    <w:p w:rsidR="001903D8" w:rsidRDefault="001903D8" w:rsidP="001903D8">
      <w:pPr>
        <w:pStyle w:val="a3"/>
        <w:rPr>
          <w:color w:val="364F56"/>
          <w:sz w:val="18"/>
          <w:szCs w:val="18"/>
        </w:rPr>
      </w:pPr>
      <w:r>
        <w:rPr>
          <w:color w:val="364F56"/>
          <w:sz w:val="18"/>
          <w:szCs w:val="18"/>
        </w:rPr>
        <w:lastRenderedPageBreak/>
        <w:t>六、综合类</w:t>
      </w:r>
    </w:p>
    <w:p w:rsidR="001903D8" w:rsidRDefault="001903D8" w:rsidP="001903D8">
      <w:pPr>
        <w:pStyle w:val="a3"/>
        <w:rPr>
          <w:color w:val="364F56"/>
          <w:sz w:val="18"/>
          <w:szCs w:val="18"/>
        </w:rPr>
      </w:pPr>
      <w:r>
        <w:rPr>
          <w:color w:val="364F56"/>
          <w:sz w:val="18"/>
          <w:szCs w:val="18"/>
        </w:rPr>
        <w:t>17. 侵害知识产权人身权益的，可否判令行为人赔偿损失？</w:t>
      </w:r>
    </w:p>
    <w:p w:rsidR="001903D8" w:rsidRDefault="001903D8" w:rsidP="001903D8">
      <w:pPr>
        <w:pStyle w:val="a3"/>
        <w:rPr>
          <w:color w:val="364F56"/>
          <w:sz w:val="18"/>
          <w:szCs w:val="18"/>
        </w:rPr>
      </w:pPr>
      <w:r>
        <w:rPr>
          <w:color w:val="364F56"/>
          <w:sz w:val="18"/>
          <w:szCs w:val="18"/>
        </w:rPr>
        <w:t>侵害知识产权权利人的人身权益造成财产损失的，应责令侵权人予以赔偿；</w:t>
      </w:r>
    </w:p>
    <w:p w:rsidR="001903D8" w:rsidRDefault="001903D8" w:rsidP="001903D8">
      <w:pPr>
        <w:pStyle w:val="a3"/>
        <w:rPr>
          <w:color w:val="364F56"/>
          <w:sz w:val="18"/>
          <w:szCs w:val="18"/>
        </w:rPr>
      </w:pPr>
      <w:r>
        <w:rPr>
          <w:color w:val="364F56"/>
          <w:sz w:val="18"/>
          <w:szCs w:val="18"/>
        </w:rPr>
        <w:t>因侵害知识产权人身权益致自然人精神损害，但未造成严重后果，受害人请求赔偿精神损害的，一般不予支持，人民法院可以根据情形判令侵权人停止侵害、恢复名誉、消除影响、赔礼道歉。</w:t>
      </w:r>
    </w:p>
    <w:p w:rsidR="001903D8" w:rsidRDefault="001903D8" w:rsidP="001903D8">
      <w:pPr>
        <w:pStyle w:val="a3"/>
        <w:rPr>
          <w:color w:val="364F56"/>
          <w:sz w:val="18"/>
          <w:szCs w:val="18"/>
        </w:rPr>
      </w:pPr>
      <w:r>
        <w:rPr>
          <w:color w:val="364F56"/>
          <w:sz w:val="18"/>
          <w:szCs w:val="18"/>
        </w:rPr>
        <w:t>因侵害知识产权人身权益致自然人精神损害，造成严重后果的，人民法院除判令侵权人承担停止侵害、恢复名誉、消除影响、赔礼道歉等民事责任外，可以根据受害人的请求判令其赔偿相应的精神损害抚慰金。</w:t>
      </w:r>
    </w:p>
    <w:p w:rsidR="001903D8" w:rsidRDefault="001903D8" w:rsidP="001903D8">
      <w:pPr>
        <w:pStyle w:val="a3"/>
        <w:rPr>
          <w:color w:val="364F56"/>
          <w:sz w:val="18"/>
          <w:szCs w:val="18"/>
        </w:rPr>
      </w:pPr>
      <w:r>
        <w:rPr>
          <w:color w:val="364F56"/>
          <w:sz w:val="18"/>
          <w:szCs w:val="18"/>
        </w:rPr>
        <w:t>侵害知识产权人身权益致法人、其他组织商誉受到损害，属于财产损害，受害人请求赔偿的，应</w:t>
      </w:r>
      <w:proofErr w:type="gramStart"/>
      <w:r>
        <w:rPr>
          <w:color w:val="364F56"/>
          <w:sz w:val="18"/>
          <w:szCs w:val="18"/>
        </w:rPr>
        <w:t>予支</w:t>
      </w:r>
      <w:proofErr w:type="gramEnd"/>
      <w:r>
        <w:rPr>
          <w:color w:val="364F56"/>
          <w:sz w:val="18"/>
          <w:szCs w:val="18"/>
        </w:rPr>
        <w:t>持。</w:t>
      </w:r>
    </w:p>
    <w:p w:rsidR="001903D8" w:rsidRDefault="001903D8" w:rsidP="001903D8">
      <w:pPr>
        <w:pStyle w:val="a3"/>
        <w:rPr>
          <w:color w:val="364F56"/>
          <w:sz w:val="18"/>
          <w:szCs w:val="18"/>
        </w:rPr>
      </w:pPr>
      <w:r>
        <w:rPr>
          <w:rFonts w:ascii="MS Mincho" w:eastAsia="MS Mincho" w:hAnsi="MS Mincho" w:cs="MS Mincho" w:hint="eastAsia"/>
          <w:color w:val="364F56"/>
          <w:sz w:val="18"/>
          <w:szCs w:val="18"/>
        </w:rPr>
        <w:t>​</w:t>
      </w:r>
    </w:p>
    <w:bookmarkEnd w:id="0"/>
    <w:bookmarkEnd w:id="1"/>
    <w:p w:rsidR="00ED0E87" w:rsidRDefault="0086162A"/>
    <w:sectPr w:rsidR="00ED0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77"/>
    <w:rsid w:val="001101EC"/>
    <w:rsid w:val="001903D8"/>
    <w:rsid w:val="001A797A"/>
    <w:rsid w:val="00741677"/>
    <w:rsid w:val="0086162A"/>
    <w:rsid w:val="00A0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3D8"/>
    <w:pPr>
      <w:widowControl/>
      <w:spacing w:before="100" w:beforeAutospacing="1" w:after="100" w:afterAutospacing="1"/>
      <w:jc w:val="left"/>
    </w:pPr>
    <w:rPr>
      <w:rFonts w:ascii="宋体" w:eastAsia="宋体" w:hAnsi="宋体" w:cs="宋体"/>
      <w:kern w:val="0"/>
      <w:sz w:val="24"/>
      <w:szCs w:val="24"/>
    </w:rPr>
  </w:style>
  <w:style w:type="character" w:customStyle="1" w:styleId="wpkeywordlink">
    <w:name w:val="wp_keywordlink"/>
    <w:basedOn w:val="a0"/>
    <w:rsid w:val="00190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3D8"/>
    <w:pPr>
      <w:widowControl/>
      <w:spacing w:before="100" w:beforeAutospacing="1" w:after="100" w:afterAutospacing="1"/>
      <w:jc w:val="left"/>
    </w:pPr>
    <w:rPr>
      <w:rFonts w:ascii="宋体" w:eastAsia="宋体" w:hAnsi="宋体" w:cs="宋体"/>
      <w:kern w:val="0"/>
      <w:sz w:val="24"/>
      <w:szCs w:val="24"/>
    </w:rPr>
  </w:style>
  <w:style w:type="character" w:customStyle="1" w:styleId="wpkeywordlink">
    <w:name w:val="wp_keywordlink"/>
    <w:basedOn w:val="a0"/>
    <w:rsid w:val="0019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2580">
      <w:bodyDiv w:val="1"/>
      <w:marLeft w:val="0"/>
      <w:marRight w:val="0"/>
      <w:marTop w:val="0"/>
      <w:marBottom w:val="0"/>
      <w:divBdr>
        <w:top w:val="none" w:sz="0" w:space="0" w:color="auto"/>
        <w:left w:val="none" w:sz="0" w:space="0" w:color="auto"/>
        <w:bottom w:val="none" w:sz="0" w:space="0" w:color="auto"/>
        <w:right w:val="none" w:sz="0" w:space="0" w:color="auto"/>
      </w:divBdr>
      <w:divsChild>
        <w:div w:id="1815368533">
          <w:marLeft w:val="0"/>
          <w:marRight w:val="0"/>
          <w:marTop w:val="0"/>
          <w:marBottom w:val="0"/>
          <w:divBdr>
            <w:top w:val="none" w:sz="0" w:space="0" w:color="auto"/>
            <w:left w:val="none" w:sz="0" w:space="0" w:color="auto"/>
            <w:bottom w:val="none" w:sz="0" w:space="0" w:color="auto"/>
            <w:right w:val="none" w:sz="0" w:space="0" w:color="auto"/>
          </w:divBdr>
          <w:divsChild>
            <w:div w:id="443427109">
              <w:marLeft w:val="0"/>
              <w:marRight w:val="0"/>
              <w:marTop w:val="0"/>
              <w:marBottom w:val="0"/>
              <w:divBdr>
                <w:top w:val="none" w:sz="0" w:space="0" w:color="auto"/>
                <w:left w:val="none" w:sz="0" w:space="0" w:color="auto"/>
                <w:bottom w:val="none" w:sz="0" w:space="0" w:color="auto"/>
                <w:right w:val="none" w:sz="0" w:space="0" w:color="auto"/>
              </w:divBdr>
              <w:divsChild>
                <w:div w:id="1420447246">
                  <w:marLeft w:val="0"/>
                  <w:marRight w:val="0"/>
                  <w:marTop w:val="0"/>
                  <w:marBottom w:val="0"/>
                  <w:divBdr>
                    <w:top w:val="none" w:sz="0" w:space="0" w:color="auto"/>
                    <w:left w:val="none" w:sz="0" w:space="0" w:color="auto"/>
                    <w:bottom w:val="none" w:sz="0" w:space="0" w:color="auto"/>
                    <w:right w:val="none" w:sz="0" w:space="0" w:color="auto"/>
                  </w:divBdr>
                  <w:divsChild>
                    <w:div w:id="16864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yer8.com/" TargetMode="External"/><Relationship Id="rId13" Type="http://schemas.openxmlformats.org/officeDocument/2006/relationships/hyperlink" Target="http://www.zhuanliwang.org/html/4/857.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yer8.com/lawyer/ywfw/40.html" TargetMode="External"/><Relationship Id="rId12" Type="http://schemas.openxmlformats.org/officeDocument/2006/relationships/hyperlink" Target="http://www.zhuanliwang.org/html/4/857.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hangbiaowang.org/" TargetMode="External"/><Relationship Id="rId1" Type="http://schemas.openxmlformats.org/officeDocument/2006/relationships/styles" Target="styles.xml"/><Relationship Id="rId6" Type="http://schemas.openxmlformats.org/officeDocument/2006/relationships/hyperlink" Target="http://www.shangbiaowang.org/" TargetMode="External"/><Relationship Id="rId11" Type="http://schemas.openxmlformats.org/officeDocument/2006/relationships/hyperlink" Target="http://www.zhuanliwang.org/html/4/860.htm" TargetMode="External"/><Relationship Id="rId5" Type="http://schemas.openxmlformats.org/officeDocument/2006/relationships/hyperlink" Target="http://www.lawyer8.com/lawyer/ywfw/40.html" TargetMode="External"/><Relationship Id="rId15" Type="http://schemas.openxmlformats.org/officeDocument/2006/relationships/hyperlink" Target="http://www.lawyer8.com/lawyer/flfg/241.html" TargetMode="External"/><Relationship Id="rId10" Type="http://schemas.openxmlformats.org/officeDocument/2006/relationships/hyperlink" Target="http://www.zhuanliwang.org/html/4/860.htm" TargetMode="External"/><Relationship Id="rId4" Type="http://schemas.openxmlformats.org/officeDocument/2006/relationships/webSettings" Target="webSettings.xml"/><Relationship Id="rId9" Type="http://schemas.openxmlformats.org/officeDocument/2006/relationships/hyperlink" Target="http://www.lawyer8.com/" TargetMode="External"/><Relationship Id="rId14" Type="http://schemas.openxmlformats.org/officeDocument/2006/relationships/hyperlink" Target="http://www.banquan.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Pages>
  <Words>634</Words>
  <Characters>3616</Characters>
  <Application>Microsoft Office Word</Application>
  <DocSecurity>0</DocSecurity>
  <Lines>30</Lines>
  <Paragraphs>8</Paragraphs>
  <ScaleCrop>false</ScaleCrop>
  <Company>Microsoft</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Sijiang(上海_法务部_范思江)</dc:creator>
  <cp:keywords/>
  <dc:description/>
  <cp:lastModifiedBy>Fan Sijiang(上海_法务部_范思江)</cp:lastModifiedBy>
  <cp:revision>5</cp:revision>
  <dcterms:created xsi:type="dcterms:W3CDTF">2014-08-24T08:38:00Z</dcterms:created>
  <dcterms:modified xsi:type="dcterms:W3CDTF">2014-08-25T01:10:00Z</dcterms:modified>
</cp:coreProperties>
</file>